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邯长铁路悬钟至长治北段勘察设计项目招标公告</w:t>
      </w:r>
    </w:p>
    <w:p>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 xml:space="preserve">招标编号：  </w:t>
      </w:r>
    </w:p>
    <w:p>
      <w:pPr>
        <w:rPr>
          <w:rFonts w:hint="eastAsia"/>
        </w:rPr>
      </w:pPr>
    </w:p>
    <w:p>
      <w:pPr>
        <w:pStyle w:val="3"/>
        <w:snapToGrid w:val="0"/>
        <w:spacing w:before="0" w:after="0" w:line="360" w:lineRule="auto"/>
        <w:rPr>
          <w:rFonts w:ascii="Times New Roman" w:hAnsi="Times New Roman" w:eastAsia="宋体"/>
          <w:color w:val="000000"/>
          <w:sz w:val="28"/>
          <w:szCs w:val="28"/>
        </w:rPr>
      </w:pPr>
      <w:bookmarkStart w:id="0" w:name="_Toc7432212"/>
      <w:r>
        <w:rPr>
          <w:rFonts w:ascii="Times New Roman" w:hAnsi="Times New Roman" w:eastAsia="宋体"/>
          <w:color w:val="000000"/>
          <w:sz w:val="28"/>
          <w:szCs w:val="28"/>
        </w:rPr>
        <w:t>1. 招标条件</w:t>
      </w:r>
      <w:bookmarkEnd w:id="0"/>
    </w:p>
    <w:p>
      <w:pPr>
        <w:pStyle w:val="3"/>
        <w:snapToGrid w:val="0"/>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本招标项目</w:t>
      </w:r>
      <w:r>
        <w:rPr>
          <w:rFonts w:ascii="Times New Roman" w:hAnsi="Times New Roman" w:eastAsia="宋体"/>
          <w:b w:val="0"/>
          <w:bCs w:val="0"/>
          <w:sz w:val="21"/>
          <w:szCs w:val="21"/>
          <w:u w:val="single"/>
        </w:rPr>
        <w:t>邯长铁路悬钟至长治北段勘察设计项目</w:t>
      </w:r>
      <w:r>
        <w:rPr>
          <w:rFonts w:ascii="Times New Roman" w:hAnsi="Times New Roman" w:eastAsia="宋体"/>
          <w:b w:val="0"/>
          <w:bCs w:val="0"/>
          <w:sz w:val="21"/>
          <w:szCs w:val="21"/>
        </w:rPr>
        <w:t>，招标人为</w:t>
      </w:r>
      <w:r>
        <w:rPr>
          <w:rFonts w:ascii="Times New Roman" w:hAnsi="Times New Roman" w:eastAsia="宋体"/>
          <w:b w:val="0"/>
          <w:bCs w:val="0"/>
          <w:sz w:val="21"/>
          <w:szCs w:val="21"/>
          <w:u w:val="single"/>
        </w:rPr>
        <w:t>中国铁路北京局集团有限公司</w:t>
      </w:r>
      <w:r>
        <w:rPr>
          <w:rFonts w:ascii="Times New Roman" w:hAnsi="Times New Roman" w:eastAsia="宋体"/>
          <w:b w:val="0"/>
          <w:bCs w:val="0"/>
          <w:sz w:val="21"/>
          <w:szCs w:val="21"/>
        </w:rPr>
        <w:t>。项目已具备招标条件，现对该项目进行勘察设计招标。</w:t>
      </w:r>
    </w:p>
    <w:p>
      <w:pPr>
        <w:pStyle w:val="3"/>
        <w:snapToGrid w:val="0"/>
        <w:spacing w:before="0" w:after="0" w:line="360" w:lineRule="auto"/>
        <w:rPr>
          <w:rFonts w:ascii="Times New Roman" w:hAnsi="Times New Roman" w:eastAsia="宋体"/>
          <w:color w:val="000000"/>
          <w:sz w:val="28"/>
          <w:szCs w:val="28"/>
        </w:rPr>
      </w:pPr>
      <w:bookmarkStart w:id="1" w:name="_Toc7432213"/>
      <w:r>
        <w:rPr>
          <w:rFonts w:ascii="Times New Roman" w:hAnsi="Times New Roman" w:eastAsia="宋体"/>
          <w:color w:val="000000"/>
          <w:sz w:val="28"/>
          <w:szCs w:val="28"/>
        </w:rPr>
        <w:t>2. 项目概况与招标范围</w:t>
      </w:r>
      <w:bookmarkEnd w:id="1"/>
    </w:p>
    <w:p>
      <w:pPr>
        <w:adjustRightInd w:val="0"/>
        <w:snapToGrid w:val="0"/>
        <w:spacing w:line="360" w:lineRule="auto"/>
        <w:ind w:firstLine="420" w:firstLineChars="200"/>
        <w:outlineLvl w:val="2"/>
        <w:rPr>
          <w:rFonts w:ascii="Times New Roman" w:hAnsi="Times New Roman" w:cs="Times New Roman"/>
          <w:kern w:val="20"/>
        </w:rPr>
      </w:pPr>
      <w:r>
        <w:rPr>
          <w:rFonts w:ascii="Times New Roman" w:hAnsi="Times New Roman" w:cs="Times New Roman"/>
          <w:kern w:val="20"/>
        </w:rPr>
        <w:t>2.1</w:t>
      </w:r>
      <w:r>
        <w:rPr>
          <w:rFonts w:ascii="Times New Roman" w:hAnsi="Times New Roman" w:cs="Times New Roman"/>
          <w:szCs w:val="32"/>
        </w:rPr>
        <w:t>本项目位于河北省邯郸市和山西省长治市境内，线路自邯长线悬钟站长治端咽喉引出，向西南经涉县、黎城县、潞城区和潞州区，引入太焦线长治北站，既有正线全长95.635km，既有车站14座，悬钟站至长治北站增建二线，封闭车站6座，保留车站8座，同步实施既有线病害整治工作。</w:t>
      </w:r>
    </w:p>
    <w:p>
      <w:pPr>
        <w:adjustRightInd w:val="0"/>
        <w:snapToGrid w:val="0"/>
        <w:spacing w:line="360" w:lineRule="auto"/>
        <w:ind w:firstLine="420" w:firstLineChars="200"/>
        <w:outlineLvl w:val="2"/>
        <w:rPr>
          <w:rFonts w:ascii="Times New Roman" w:hAnsi="Times New Roman" w:cs="Times New Roman"/>
          <w:kern w:val="20"/>
        </w:rPr>
      </w:pPr>
      <w:r>
        <w:rPr>
          <w:rFonts w:ascii="Times New Roman" w:hAnsi="Times New Roman" w:cs="Times New Roman"/>
          <w:kern w:val="20"/>
        </w:rPr>
        <w:t>2.2 工作阶段：初步设计、施工图设计阶段。</w:t>
      </w:r>
    </w:p>
    <w:p>
      <w:pPr>
        <w:adjustRightInd w:val="0"/>
        <w:snapToGrid w:val="0"/>
        <w:spacing w:line="360" w:lineRule="auto"/>
        <w:ind w:firstLine="420" w:firstLineChars="200"/>
        <w:outlineLvl w:val="2"/>
        <w:rPr>
          <w:rFonts w:ascii="Times New Roman" w:hAnsi="Times New Roman" w:cs="Times New Roman"/>
          <w:kern w:val="20"/>
          <w:highlight w:val="yellow"/>
        </w:rPr>
      </w:pPr>
      <w:r>
        <w:rPr>
          <w:rFonts w:ascii="Times New Roman" w:hAnsi="Times New Roman" w:cs="Times New Roman"/>
          <w:kern w:val="20"/>
        </w:rPr>
        <w:t>2.3 标段划分：划分1个标段。</w:t>
      </w:r>
    </w:p>
    <w:p>
      <w:pPr>
        <w:adjustRightInd w:val="0"/>
        <w:snapToGrid w:val="0"/>
        <w:spacing w:line="360" w:lineRule="auto"/>
        <w:ind w:firstLine="420" w:firstLineChars="200"/>
        <w:outlineLvl w:val="2"/>
        <w:rPr>
          <w:rFonts w:ascii="Times New Roman" w:hAnsi="Times New Roman" w:cs="Times New Roman"/>
          <w:kern w:val="20"/>
        </w:rPr>
      </w:pPr>
      <w:r>
        <w:rPr>
          <w:rFonts w:ascii="Times New Roman" w:hAnsi="Times New Roman" w:cs="Times New Roman"/>
          <w:kern w:val="20"/>
        </w:rPr>
        <w:t>2.4 服务期限：至施工图设计完成为止。</w:t>
      </w:r>
    </w:p>
    <w:p>
      <w:pPr>
        <w:pStyle w:val="3"/>
        <w:snapToGrid w:val="0"/>
        <w:spacing w:before="0" w:after="0" w:line="360" w:lineRule="auto"/>
        <w:rPr>
          <w:rFonts w:ascii="Times New Roman" w:hAnsi="Times New Roman" w:eastAsia="宋体"/>
          <w:color w:val="000000"/>
          <w:sz w:val="28"/>
          <w:szCs w:val="28"/>
        </w:rPr>
      </w:pPr>
      <w:bookmarkStart w:id="2" w:name="_Toc7432214"/>
      <w:r>
        <w:rPr>
          <w:rFonts w:ascii="Times New Roman" w:hAnsi="Times New Roman" w:eastAsia="宋体"/>
          <w:color w:val="000000"/>
          <w:sz w:val="28"/>
          <w:szCs w:val="28"/>
        </w:rPr>
        <w:t>3. 投标人资格要求</w:t>
      </w:r>
      <w:bookmarkEnd w:id="2"/>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3.1投标人应为中华人民共和国境内依法注册的独立法人。</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3.2投标人应同时具有以下资质：</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（1）建设行政主管部门颁发的工程设计综合资质甲级或铁道行业、专业甲级资质；</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（2）建设行政主管部门颁发的工程勘察综合甲级资质或工程勘察专业类甲级资质。</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3.3近五年具有承担国内铁路建设项目勘察设计工作业绩。</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3.4投标人不存在下列情形之一：</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(1) 被责令停业的；</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(2) 财产被接管或冻结的；</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 投标人及投标人法定代表人、拟委派的项目负责人在参加投标活动前1年（以人民法院判决生效之日起至本招标公告发布之日止）有人民法院生效判决、裁定认定的行贿犯罪记录。（附“中国裁判文书网”查询的网页截图）；</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(4) 被最高人民法院在“信用中国”网站（www.creditchina.gov.cn）或各级信用信息共享平台中列入失信被执行人名单；</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(5) 已被铁路中国国家铁路集团有限公司作出停止参加投标的相关勘察设计单位。</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3.5项目负责人的资格要求：应当具备工程设计类注册执业资格（如有）或具有高级工程师资格。</w:t>
      </w:r>
    </w:p>
    <w:p>
      <w:pPr>
        <w:adjustRightInd w:val="0"/>
        <w:snapToGrid w:val="0"/>
        <w:spacing w:line="360" w:lineRule="auto"/>
        <w:ind w:firstLine="420" w:firstLineChars="200"/>
        <w:outlineLvl w:val="2"/>
        <w:rPr>
          <w:rFonts w:ascii="Times New Roman" w:hAnsi="Times New Roman" w:cs="Times New Roman"/>
          <w:kern w:val="20"/>
        </w:rPr>
      </w:pPr>
      <w:r>
        <w:rPr>
          <w:rFonts w:ascii="Times New Roman" w:hAnsi="Times New Roman" w:cs="Times New Roman"/>
          <w:kern w:val="20"/>
        </w:rPr>
        <w:t>3.6 其他主要人员要求：中级及以上技术职称。</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3.7本次不接受联合体投标。</w:t>
      </w:r>
    </w:p>
    <w:p>
      <w:pPr>
        <w:pStyle w:val="3"/>
        <w:snapToGrid w:val="0"/>
        <w:spacing w:before="0" w:after="0" w:line="360" w:lineRule="auto"/>
        <w:rPr>
          <w:rFonts w:ascii="Times New Roman" w:hAnsi="Times New Roman" w:eastAsia="宋体"/>
          <w:color w:val="000000"/>
          <w:sz w:val="28"/>
          <w:szCs w:val="28"/>
        </w:rPr>
      </w:pPr>
      <w:bookmarkStart w:id="3" w:name="_Toc390409512"/>
      <w:bookmarkStart w:id="4" w:name="_Toc7432215"/>
      <w:bookmarkStart w:id="5" w:name="_Toc384308190"/>
      <w:bookmarkStart w:id="6" w:name="_Toc361508565"/>
      <w:bookmarkStart w:id="7" w:name="_Toc482188415"/>
      <w:r>
        <w:rPr>
          <w:rFonts w:ascii="Times New Roman" w:hAnsi="Times New Roman" w:eastAsia="宋体"/>
          <w:color w:val="000000"/>
          <w:sz w:val="28"/>
          <w:szCs w:val="28"/>
        </w:rPr>
        <w:t>4. 技术成果经济补偿</w:t>
      </w:r>
      <w:bookmarkEnd w:id="3"/>
      <w:bookmarkEnd w:id="4"/>
      <w:bookmarkEnd w:id="5"/>
      <w:bookmarkEnd w:id="6"/>
      <w:bookmarkEnd w:id="7"/>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本次招标对未中标人投标文件中的技术成果不给予经济补偿。</w:t>
      </w:r>
    </w:p>
    <w:p>
      <w:pPr>
        <w:pStyle w:val="3"/>
        <w:numPr>
          <w:ilvl w:val="0"/>
          <w:numId w:val="1"/>
        </w:numPr>
        <w:snapToGrid w:val="0"/>
        <w:spacing w:before="0" w:after="0" w:line="360" w:lineRule="auto"/>
        <w:rPr>
          <w:rFonts w:ascii="Times New Roman" w:hAnsi="Times New Roman" w:eastAsia="宋体"/>
          <w:color w:val="000000"/>
          <w:sz w:val="28"/>
          <w:szCs w:val="28"/>
        </w:rPr>
      </w:pPr>
      <w:bookmarkStart w:id="8" w:name="_Toc7432216"/>
      <w:r>
        <w:rPr>
          <w:rFonts w:ascii="Times New Roman" w:hAnsi="Times New Roman" w:eastAsia="宋体"/>
          <w:color w:val="000000"/>
          <w:sz w:val="28"/>
          <w:szCs w:val="28"/>
        </w:rPr>
        <w:t>招标文件的获取</w:t>
      </w:r>
      <w:bookmarkEnd w:id="8"/>
    </w:p>
    <w:p>
      <w:pPr>
        <w:adjustRightInd w:val="0"/>
        <w:snapToGrid w:val="0"/>
        <w:spacing w:line="360" w:lineRule="auto"/>
        <w:ind w:firstLine="420" w:firstLineChars="200"/>
        <w:outlineLvl w:val="2"/>
        <w:rPr>
          <w:rFonts w:ascii="Times New Roman" w:hAnsi="Times New Roman" w:cs="Times New Roman"/>
          <w:kern w:val="20"/>
        </w:rPr>
      </w:pPr>
      <w:r>
        <w:rPr>
          <w:rFonts w:ascii="Times New Roman" w:hAnsi="Times New Roman" w:cs="Times New Roman"/>
          <w:kern w:val="20"/>
        </w:rPr>
        <w:t>5.1投标人须为国铁采购平台（https://cg.95306.cn/）注册供应商。新用户请先登录国铁采购平台完成企业用户注册并通过初审。</w:t>
      </w:r>
    </w:p>
    <w:p>
      <w:pPr>
        <w:adjustRightInd w:val="0"/>
        <w:snapToGrid w:val="0"/>
        <w:spacing w:line="360" w:lineRule="auto"/>
        <w:ind w:firstLine="420" w:firstLineChars="200"/>
        <w:outlineLvl w:val="2"/>
        <w:rPr>
          <w:rFonts w:ascii="Times New Roman" w:hAnsi="Times New Roman" w:cs="Times New Roman"/>
          <w:kern w:val="20"/>
        </w:rPr>
      </w:pPr>
      <w:r>
        <w:rPr>
          <w:rFonts w:ascii="Times New Roman" w:hAnsi="Times New Roman" w:cs="Times New Roman"/>
          <w:kern w:val="20"/>
        </w:rPr>
        <w:t>5.2本招标文件每套售价0元，凡有意参加投标者，请于于2024年6月14日9时00分至6月21日17时00分（北京时间，下同）进行网上报名，自行下载获取本项目招标文件。</w:t>
      </w:r>
    </w:p>
    <w:p>
      <w:pPr>
        <w:adjustRightInd w:val="0"/>
        <w:snapToGrid w:val="0"/>
        <w:spacing w:line="360" w:lineRule="auto"/>
        <w:ind w:firstLine="420" w:firstLineChars="200"/>
        <w:rPr>
          <w:rFonts w:ascii="Times New Roman" w:hAnsi="Times New Roman" w:cs="Times New Roman"/>
          <w:kern w:val="20"/>
        </w:rPr>
      </w:pPr>
      <w:bookmarkStart w:id="9" w:name="_Toc7432217"/>
      <w:r>
        <w:rPr>
          <w:rFonts w:ascii="Times New Roman" w:hAnsi="Times New Roman" w:cs="Times New Roman"/>
          <w:kern w:val="20"/>
        </w:rPr>
        <w:t>5.3潜在投标人，还须通过北京工程建设公共资源交易平台注册报名下载招标文件。</w:t>
      </w:r>
    </w:p>
    <w:p>
      <w:pPr>
        <w:pStyle w:val="3"/>
        <w:snapToGrid w:val="0"/>
        <w:spacing w:before="0" w:after="0" w:line="360" w:lineRule="auto"/>
        <w:rPr>
          <w:rFonts w:ascii="Times New Roman" w:hAnsi="Times New Roman" w:eastAsia="宋体"/>
          <w:color w:val="000000"/>
          <w:sz w:val="28"/>
          <w:szCs w:val="28"/>
        </w:rPr>
      </w:pPr>
      <w:r>
        <w:rPr>
          <w:rFonts w:ascii="Times New Roman" w:hAnsi="Times New Roman" w:eastAsia="宋体"/>
          <w:color w:val="000000"/>
          <w:sz w:val="28"/>
          <w:szCs w:val="28"/>
        </w:rPr>
        <w:t>6. 投标文件的递交</w:t>
      </w:r>
      <w:bookmarkEnd w:id="9"/>
    </w:p>
    <w:p>
      <w:pPr>
        <w:adjustRightInd w:val="0"/>
        <w:snapToGrid w:val="0"/>
        <w:spacing w:line="360" w:lineRule="auto"/>
        <w:ind w:firstLine="420" w:firstLineChars="200"/>
        <w:rPr>
          <w:rFonts w:ascii="Times New Roman" w:hAnsi="Times New Roman" w:cs="Times New Roman"/>
          <w:kern w:val="20"/>
        </w:rPr>
      </w:pPr>
      <w:bookmarkStart w:id="10" w:name="_Toc7432218"/>
      <w:r>
        <w:rPr>
          <w:rFonts w:ascii="Times New Roman" w:hAnsi="Times New Roman" w:cs="Times New Roman"/>
          <w:kern w:val="20"/>
        </w:rPr>
        <w:t>投标文件递交截止时间为2024年7月9日9时30分，投标人开标日需携带从北京工程建设公共资源交易平台中下载或打印的任意一个标段(或包件)的招标文件回执单，在递交投标文件之前现场办理签到后再递交纸质投标文件。</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递交地址：北京市公共资源交易中心指定开标室（北京市房山区长阳镇西营路口北稻田南里15号）。</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逾期送达的、未送达指定地点的或者不按照招标文件要求密封的投标文件，招标人将予以拒收。</w:t>
      </w:r>
    </w:p>
    <w:p>
      <w:pPr>
        <w:pStyle w:val="3"/>
        <w:snapToGrid w:val="0"/>
        <w:spacing w:before="0" w:after="0" w:line="360" w:lineRule="auto"/>
        <w:rPr>
          <w:rFonts w:ascii="Times New Roman" w:hAnsi="Times New Roman" w:eastAsia="宋体"/>
          <w:color w:val="000000"/>
          <w:sz w:val="28"/>
          <w:szCs w:val="28"/>
        </w:rPr>
      </w:pPr>
      <w:r>
        <w:rPr>
          <w:rFonts w:ascii="Times New Roman" w:hAnsi="Times New Roman" w:eastAsia="宋体"/>
          <w:color w:val="000000"/>
          <w:sz w:val="28"/>
          <w:szCs w:val="28"/>
        </w:rPr>
        <w:t>7. 发布公告的媒介</w:t>
      </w:r>
      <w:bookmarkEnd w:id="10"/>
    </w:p>
    <w:p>
      <w:pPr>
        <w:adjustRightInd w:val="0"/>
        <w:snapToGrid w:val="0"/>
        <w:spacing w:line="360" w:lineRule="auto"/>
        <w:ind w:firstLine="420" w:firstLineChars="200"/>
        <w:rPr>
          <w:rFonts w:ascii="Times New Roman" w:hAnsi="Times New Roman" w:cs="Times New Roman"/>
          <w:color w:val="000000"/>
          <w:sz w:val="28"/>
          <w:szCs w:val="28"/>
        </w:rPr>
      </w:pPr>
      <w:bookmarkStart w:id="11" w:name="_Toc7432219"/>
      <w:r>
        <w:rPr>
          <w:rFonts w:ascii="Times New Roman" w:hAnsi="Times New Roman" w:cs="Times New Roman"/>
          <w:kern w:val="20"/>
        </w:rPr>
        <w:t>本公告在中国招标投标公共服务平台（http://www.cebpubservice.com）、北京市公共资源交易服务平台（https://ggzyfw.beijing.gov.cn）、国铁采购平台（https://cg.95306.cn/）等媒介上发布。</w:t>
      </w:r>
    </w:p>
    <w:p>
      <w:pPr>
        <w:pStyle w:val="3"/>
        <w:snapToGrid w:val="0"/>
        <w:spacing w:before="0" w:after="0" w:line="360" w:lineRule="auto"/>
        <w:rPr>
          <w:rFonts w:ascii="Times New Roman" w:hAnsi="Times New Roman" w:eastAsia="宋体"/>
          <w:color w:val="000000"/>
          <w:sz w:val="28"/>
          <w:szCs w:val="28"/>
        </w:rPr>
      </w:pPr>
      <w:r>
        <w:rPr>
          <w:rFonts w:ascii="Times New Roman" w:hAnsi="Times New Roman" w:eastAsia="宋体"/>
          <w:color w:val="000000"/>
          <w:sz w:val="28"/>
          <w:szCs w:val="28"/>
        </w:rPr>
        <w:t>8. 联系方式</w:t>
      </w:r>
      <w:bookmarkEnd w:id="11"/>
    </w:p>
    <w:p>
      <w:pPr>
        <w:adjustRightInd w:val="0"/>
        <w:snapToGrid w:val="0"/>
        <w:spacing w:line="360" w:lineRule="auto"/>
        <w:ind w:firstLine="420" w:firstLineChars="200"/>
        <w:rPr>
          <w:rFonts w:ascii="Times New Roman" w:hAnsi="Times New Roman" w:cs="Times New Roman"/>
          <w:kern w:val="20"/>
        </w:rPr>
      </w:pPr>
      <w:bookmarkStart w:id="12" w:name="_Toc384308188"/>
      <w:bookmarkEnd w:id="12"/>
      <w:bookmarkStart w:id="13" w:name="_Toc247527535"/>
      <w:bookmarkEnd w:id="13"/>
      <w:bookmarkStart w:id="14" w:name="_Toc247513934"/>
      <w:bookmarkEnd w:id="14"/>
      <w:bookmarkStart w:id="15" w:name="_Toc17972"/>
      <w:bookmarkEnd w:id="15"/>
      <w:bookmarkStart w:id="16" w:name="_Toc152042288"/>
      <w:bookmarkEnd w:id="16"/>
      <w:bookmarkStart w:id="17" w:name="_Toc152042289"/>
      <w:bookmarkEnd w:id="17"/>
      <w:bookmarkStart w:id="18" w:name="_Toc369531498"/>
      <w:bookmarkEnd w:id="18"/>
      <w:bookmarkStart w:id="19" w:name="_Toc152045513"/>
      <w:bookmarkEnd w:id="19"/>
      <w:bookmarkStart w:id="20" w:name="_Toc10785"/>
      <w:bookmarkEnd w:id="20"/>
      <w:bookmarkStart w:id="21" w:name="_Toc352691453"/>
      <w:bookmarkEnd w:id="21"/>
      <w:bookmarkStart w:id="22" w:name="_Toc247513935"/>
      <w:bookmarkEnd w:id="22"/>
      <w:bookmarkStart w:id="23" w:name="_Toc300834927"/>
      <w:bookmarkEnd w:id="23"/>
      <w:bookmarkStart w:id="24" w:name="_Toc369531495"/>
      <w:bookmarkEnd w:id="24"/>
      <w:bookmarkStart w:id="25" w:name="_Toc384308187"/>
      <w:bookmarkEnd w:id="25"/>
      <w:bookmarkStart w:id="26" w:name="_Toc384308185"/>
      <w:bookmarkEnd w:id="26"/>
      <w:bookmarkStart w:id="27" w:name="_Toc369531497"/>
      <w:bookmarkEnd w:id="27"/>
      <w:bookmarkStart w:id="28" w:name="_Toc144974480"/>
      <w:bookmarkEnd w:id="28"/>
      <w:bookmarkStart w:id="29" w:name="_Toc361508560"/>
      <w:bookmarkEnd w:id="29"/>
      <w:bookmarkStart w:id="30" w:name="_Toc361508562"/>
      <w:bookmarkEnd w:id="30"/>
      <w:bookmarkStart w:id="31" w:name="_Toc361508563"/>
      <w:bookmarkEnd w:id="31"/>
      <w:bookmarkStart w:id="32" w:name="_Toc352691455"/>
      <w:bookmarkEnd w:id="32"/>
      <w:bookmarkStart w:id="33" w:name="_Toc247527536"/>
      <w:bookmarkEnd w:id="33"/>
      <w:bookmarkStart w:id="34" w:name="_Toc144974481"/>
      <w:bookmarkEnd w:id="34"/>
      <w:bookmarkStart w:id="35" w:name="_Toc352691456"/>
      <w:bookmarkEnd w:id="35"/>
      <w:bookmarkStart w:id="36" w:name="_Toc152045512"/>
      <w:bookmarkEnd w:id="36"/>
      <w:bookmarkStart w:id="37" w:name="_Toc300834930"/>
      <w:bookmarkEnd w:id="37"/>
      <w:bookmarkStart w:id="38" w:name="_Toc300834929"/>
      <w:bookmarkEnd w:id="38"/>
      <w:bookmarkStart w:id="39" w:name="_Toc30817"/>
      <w:bookmarkEnd w:id="39"/>
      <w:r>
        <w:rPr>
          <w:rFonts w:ascii="Times New Roman" w:hAnsi="Times New Roman" w:cs="Times New Roman"/>
          <w:kern w:val="20"/>
        </w:rPr>
        <w:t>招标人：中国铁路北京局集团有限公司</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地址：北京市海淀区复兴路6号</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邮编：100860</w:t>
      </w:r>
    </w:p>
    <w:p>
      <w:pPr>
        <w:adjustRightInd w:val="0"/>
        <w:snapToGrid w:val="0"/>
        <w:spacing w:line="360" w:lineRule="auto"/>
        <w:ind w:firstLine="420" w:firstLineChars="200"/>
        <w:rPr>
          <w:rFonts w:ascii="Times New Roman" w:hAnsi="Times New Roman" w:cs="Times New Roman"/>
          <w:kern w:val="20"/>
        </w:rPr>
      </w:pP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招标代理机构：国铁物资有限公司</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地    址：北京市海淀区玲珑路9号院东区5号楼</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邮    编： 100097</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联 系 人：王先生 、王先生</w:t>
      </w:r>
    </w:p>
    <w:p>
      <w:pPr>
        <w:adjustRightInd w:val="0"/>
        <w:snapToGrid w:val="0"/>
        <w:spacing w:line="360" w:lineRule="auto"/>
        <w:ind w:firstLine="420" w:firstLineChars="200"/>
        <w:rPr>
          <w:rFonts w:ascii="Times New Roman" w:hAnsi="Times New Roman" w:cs="Times New Roman"/>
          <w:kern w:val="20"/>
        </w:rPr>
      </w:pPr>
      <w:r>
        <w:rPr>
          <w:rFonts w:ascii="Times New Roman" w:hAnsi="Times New Roman" w:cs="Times New Roman"/>
          <w:kern w:val="20"/>
        </w:rPr>
        <w:t>电    话：010-51894001、51894094</w:t>
      </w:r>
    </w:p>
    <w:p>
      <w:pPr>
        <w:spacing w:line="360" w:lineRule="auto"/>
        <w:ind w:left="420" w:leftChars="200"/>
        <w:rPr>
          <w:rFonts w:ascii="Times New Roman" w:hAnsi="Times New Roman" w:cs="Times New Roman"/>
          <w:szCs w:val="22"/>
        </w:rPr>
      </w:pPr>
      <w:r>
        <w:rPr>
          <w:rFonts w:hint="eastAsia" w:ascii="Times New Roman" w:hAnsi="Times New Roman" w:cs="Times New Roman"/>
          <w:szCs w:val="22"/>
        </w:rPr>
        <w:t>电子邮件：GTJTWZGS01@163.com</w:t>
      </w:r>
      <w:bookmarkStart w:id="40" w:name="_GoBack"/>
      <w:bookmarkEnd w:id="40"/>
    </w:p>
    <w:p>
      <w:pPr>
        <w:spacing w:line="360" w:lineRule="auto"/>
        <w:ind w:left="420" w:leftChars="200"/>
        <w:rPr>
          <w:rFonts w:ascii="Times New Roman" w:hAnsi="Times New Roman" w:cs="Times New Roman"/>
          <w:szCs w:val="22"/>
        </w:rPr>
      </w:pPr>
      <w:r>
        <w:rPr>
          <w:rFonts w:ascii="Times New Roman" w:hAnsi="Times New Roman" w:cs="Times New Roman"/>
          <w:szCs w:val="22"/>
        </w:rPr>
        <w:t>网    址：https://cg.95306.cn/</w:t>
      </w:r>
    </w:p>
    <w:p>
      <w:pPr>
        <w:spacing w:line="360" w:lineRule="auto"/>
        <w:ind w:left="420" w:leftChars="200"/>
        <w:rPr>
          <w:rFonts w:ascii="Times New Roman" w:hAnsi="Times New Roman" w:cs="Times New Roman"/>
          <w:szCs w:val="22"/>
        </w:rPr>
      </w:pPr>
      <w:r>
        <w:rPr>
          <w:rFonts w:ascii="Times New Roman" w:hAnsi="Times New Roman" w:cs="Times New Roman"/>
          <w:szCs w:val="22"/>
        </w:rPr>
        <w:t>账户名称：国铁物资有限公司</w:t>
      </w:r>
    </w:p>
    <w:p>
      <w:pPr>
        <w:spacing w:line="360" w:lineRule="auto"/>
        <w:ind w:left="420" w:leftChars="200"/>
        <w:rPr>
          <w:rFonts w:ascii="Times New Roman" w:hAnsi="Times New Roman" w:cs="Times New Roman"/>
          <w:szCs w:val="22"/>
        </w:rPr>
      </w:pPr>
      <w:r>
        <w:rPr>
          <w:rFonts w:ascii="Times New Roman" w:hAnsi="Times New Roman" w:cs="Times New Roman"/>
          <w:szCs w:val="22"/>
        </w:rPr>
        <w:t>开户银行：中国银行北京市分行营业部</w:t>
      </w:r>
    </w:p>
    <w:p>
      <w:pPr>
        <w:spacing w:line="360" w:lineRule="auto"/>
        <w:ind w:left="420" w:leftChars="200"/>
        <w:rPr>
          <w:rFonts w:ascii="Times New Roman" w:hAnsi="Times New Roman" w:cs="Times New Roman"/>
          <w:szCs w:val="22"/>
        </w:rPr>
      </w:pPr>
      <w:r>
        <w:rPr>
          <w:rFonts w:ascii="Times New Roman" w:hAnsi="Times New Roman" w:cs="Times New Roman"/>
          <w:szCs w:val="22"/>
        </w:rPr>
        <w:t>账    号：345471684130</w:t>
      </w:r>
    </w:p>
    <w:p>
      <w:pPr>
        <w:snapToGrid w:val="0"/>
        <w:spacing w:line="312" w:lineRule="auto"/>
        <w:rPr>
          <w:rFonts w:ascii="Times New Roman" w:hAnsi="Times New Roman" w:eastAsia="方正仿宋简体" w:cs="Times New Roman"/>
          <w:color w:val="000000"/>
          <w:sz w:val="30"/>
          <w:szCs w:val="30"/>
        </w:rPr>
      </w:pPr>
    </w:p>
    <w:p>
      <w:r>
        <w:rPr>
          <w:rFonts w:eastAsia="方正仿宋简体"/>
          <w:color w:val="000000"/>
          <w:sz w:val="30"/>
          <w:szCs w:val="30"/>
        </w:rPr>
        <w:t>　　　　　　　　　　　　　　　　</w:t>
      </w:r>
      <w:r>
        <w:rPr>
          <w:b w:val="0"/>
          <w:bCs w:val="0"/>
          <w:kern w:val="2"/>
          <w:sz w:val="21"/>
          <w:szCs w:val="22"/>
        </w:rPr>
        <w:t>2024 年6月13日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7790B2C-36D0-409D-A622-978A5B6B8644}"/>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embedRegular r:id="rId2" w:fontKey="{429CDF2A-E1F1-47A1-BE6F-A613CE1043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4BDF"/>
    <w:multiLevelType w:val="singleLevel"/>
    <w:tmpl w:val="FDB84BDF"/>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Yjk3YTQ3NDc5YzY0ZTEzOTRjMDE1NDY3YTVhNjAifQ=="/>
  </w:docVars>
  <w:rsids>
    <w:rsidRoot w:val="6D912EE0"/>
    <w:rsid w:val="6D91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2024-06-13T06:26:00Z</dcterms:created>
  <dc:creator>小东哥</dc:creator>
  <cp:lastModifiedBy>小东哥</cp:lastModifiedBy>
  <dcterms:modified xsi:type="dcterms:W3CDTF">2024-06-13T06:27:36Z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B4C12E7B5E65456784BE2751C915F393_11</vt:lpwstr>
  </property>
</Properties>
</file>